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FCC8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60746251" w14:textId="77777777" w:rsidR="002C6DEF" w:rsidRDefault="002C6DEF" w:rsidP="008C4D92">
      <w:pPr>
        <w:pStyle w:val="StandardWeb"/>
        <w:spacing w:after="0"/>
        <w:jc w:val="center"/>
      </w:pPr>
    </w:p>
    <w:p w14:paraId="6BEC9936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2569" wp14:editId="08350F9B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D16BF" w14:textId="491B5BF7" w:rsidR="00781CCF" w:rsidRPr="00D96B92" w:rsidRDefault="00065567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UMA 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256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" fillcolor="white [3201]" strokecolor="white [3212]" strokeweight=".5pt">
                <v:textbox>
                  <w:txbxContent>
                    <w:p w14:paraId="6D7D16BF" w14:textId="491B5BF7" w:rsidR="00781CCF" w:rsidRPr="00D96B92" w:rsidRDefault="00065567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UMA 240</w:t>
                      </w:r>
                    </w:p>
                  </w:txbxContent>
                </v:textbox>
              </v:shape>
            </w:pict>
          </mc:Fallback>
        </mc:AlternateContent>
      </w:r>
    </w:p>
    <w:p w14:paraId="6EBE9A03" w14:textId="77777777" w:rsidR="002C6DEF" w:rsidRDefault="002C6DEF" w:rsidP="008C4D92">
      <w:pPr>
        <w:pStyle w:val="StandardWeb"/>
        <w:spacing w:after="0"/>
        <w:jc w:val="center"/>
      </w:pPr>
    </w:p>
    <w:p w14:paraId="2127466D" w14:textId="77777777" w:rsidR="00C74935" w:rsidRDefault="00C74935" w:rsidP="008C4D92">
      <w:pPr>
        <w:pStyle w:val="StandardWeb"/>
        <w:spacing w:after="0"/>
        <w:jc w:val="center"/>
      </w:pPr>
    </w:p>
    <w:p w14:paraId="7AC57546" w14:textId="77777777" w:rsidR="008C4D92" w:rsidRDefault="008C4D92" w:rsidP="008C4D92">
      <w:pPr>
        <w:pStyle w:val="Default"/>
      </w:pPr>
    </w:p>
    <w:p w14:paraId="0430E8AF" w14:textId="77777777" w:rsidR="00B851AF" w:rsidRDefault="00B851AF" w:rsidP="008C4D92">
      <w:pPr>
        <w:pStyle w:val="Default"/>
      </w:pPr>
    </w:p>
    <w:p w14:paraId="635B2490" w14:textId="77777777" w:rsidR="00B851AF" w:rsidRDefault="00B851AF" w:rsidP="008C4D92">
      <w:pPr>
        <w:pStyle w:val="Default"/>
      </w:pPr>
    </w:p>
    <w:p w14:paraId="3A96A1D9" w14:textId="77777777" w:rsidR="00C74935" w:rsidRDefault="00C74935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14:paraId="7A14B1EE" w14:textId="77777777" w:rsidR="00861C03" w:rsidRDefault="00065567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/>
          <w:sz w:val="32"/>
          <w:szCs w:val="32"/>
          <w:lang w:val="de-DE"/>
        </w:rPr>
      </w:pPr>
      <w:r>
        <w:rPr>
          <w:rFonts w:ascii="FuturaA Bk BT;Century Gothic" w:hAnsi="FuturaA Bk BT;Century Gothic"/>
          <w:sz w:val="32"/>
          <w:szCs w:val="32"/>
          <w:lang w:val="de-DE"/>
        </w:rPr>
        <w:t xml:space="preserve">5 Zonen </w:t>
      </w:r>
    </w:p>
    <w:p w14:paraId="3FCBCD23" w14:textId="60961E49" w:rsidR="00CB4841" w:rsidRDefault="00065567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sz w:val="32"/>
          <w:szCs w:val="32"/>
          <w:lang w:val="de-DE"/>
        </w:rPr>
        <w:t>Kompakt-</w:t>
      </w:r>
      <w:r w:rsidR="00861C03">
        <w:rPr>
          <w:rFonts w:ascii="FuturaA Bk BT;Century Gothic" w:hAnsi="FuturaA Bk BT;Century Gothic"/>
          <w:sz w:val="32"/>
          <w:szCs w:val="32"/>
          <w:lang w:val="de-DE"/>
        </w:rPr>
        <w:t>Beschallungs-</w:t>
      </w:r>
      <w:r>
        <w:rPr>
          <w:rFonts w:ascii="FuturaA Bk BT;Century Gothic" w:hAnsi="FuturaA Bk BT;Century Gothic"/>
          <w:sz w:val="32"/>
          <w:szCs w:val="32"/>
          <w:lang w:val="de-DE"/>
        </w:rPr>
        <w:t>System</w:t>
      </w:r>
    </w:p>
    <w:p w14:paraId="68C54C92" w14:textId="41460FCC" w:rsidR="00065567" w:rsidRDefault="00065567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</w:pPr>
      <w:r>
        <w:rPr>
          <w:rFonts w:ascii="FuturaA Bk BT;Century Gothic" w:hAnsi="FuturaA Bk BT;Century Gothic"/>
          <w:sz w:val="32"/>
          <w:szCs w:val="32"/>
          <w:lang w:val="de-DE"/>
        </w:rPr>
        <w:t>240Watt</w:t>
      </w:r>
    </w:p>
    <w:p w14:paraId="1E09C422" w14:textId="4D3AEDE5" w:rsidR="00D96B92" w:rsidRPr="00065567" w:rsidRDefault="00C74935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</w:pPr>
      <w:r w:rsidRPr="00065567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065567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77B61E9F" w14:textId="77777777" w:rsidR="0051148C" w:rsidRPr="00065567" w:rsidRDefault="00C74935" w:rsidP="002C2A70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</w:pPr>
      <w:r w:rsidRPr="00065567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51148C" w:rsidRPr="00065567">
        <w:rPr>
          <w:lang w:val="de-DE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0"/>
          <w:szCs w:val="20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</w:rPr>
      </w:sdtEndPr>
      <w:sdtContent>
        <w:p w14:paraId="20C1A489" w14:textId="77777777" w:rsidR="00504AFD" w:rsidRPr="00903F9A" w:rsidRDefault="00504AFD" w:rsidP="00110075">
          <w:pPr>
            <w:pStyle w:val="Inhaltsverzeichnisberschrift"/>
            <w:rPr>
              <w:rFonts w:ascii="Arial" w:hAnsi="Arial" w:cs="Arial"/>
              <w:bCs w:val="0"/>
              <w:sz w:val="20"/>
              <w:szCs w:val="20"/>
            </w:rPr>
          </w:pPr>
        </w:p>
        <w:p w14:paraId="2E32740A" w14:textId="77777777" w:rsidR="00B80094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 xml:space="preserve">Die UMA240 Kompakt-Beschallungsanlage ist ideal für kommerzielle Anwendungen, auch mit </w:t>
          </w:r>
        </w:p>
        <w:p w14:paraId="73DC7DF2" w14:textId="7283326D" w:rsidR="00504AFD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>mehreren Eingängen, Musikübertragungen oder Live-Durchsagen.</w:t>
          </w:r>
        </w:p>
        <w:p w14:paraId="00DABC24" w14:textId="77777777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</w:p>
        <w:p w14:paraId="0AEB82FD" w14:textId="77777777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 xml:space="preserve">Der Mischverstärker ist für Anwendungen mit insgesamt 6 Eingängen/Kanälen ausgelegt. 5 </w:t>
          </w:r>
        </w:p>
        <w:p w14:paraId="719B4C85" w14:textId="77777777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 xml:space="preserve">der 6 Eingänge verfügen über einen eigenen Pegelregler auf der Vorderseite, während sich </w:t>
          </w:r>
        </w:p>
        <w:p w14:paraId="65455B34" w14:textId="41D3F21C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>der 6. Pegelregler auf der Rückseite be</w:t>
          </w:r>
          <w:r w:rsidR="00861C03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>fi</w:t>
          </w: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softHyphen/>
            <w:t xml:space="preserve">ndet. </w:t>
          </w:r>
        </w:p>
        <w:p w14:paraId="2407A088" w14:textId="77777777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</w:p>
        <w:p w14:paraId="2CBA3795" w14:textId="77777777" w:rsidR="00065567" w:rsidRPr="00903F9A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 xml:space="preserve">Darüber hinaus gibt es einen Hauptregler für die Ausgangslautstärke und zwei </w:t>
          </w:r>
        </w:p>
        <w:p w14:paraId="4012FFAE" w14:textId="16ECF062" w:rsidR="00065567" w:rsidRDefault="00065567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>Klangregler</w:t>
          </w:r>
          <w:r w:rsidR="00861C03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 xml:space="preserve"> für </w:t>
          </w:r>
          <w:r w:rsidRPr="00903F9A"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  <w:t>Bass und Höhen.</w:t>
          </w:r>
        </w:p>
        <w:p w14:paraId="593AD4E3" w14:textId="77777777" w:rsidR="00861C03" w:rsidRDefault="00861C03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</w:p>
        <w:p w14:paraId="1D1D6C9A" w14:textId="77777777" w:rsidR="00861C03" w:rsidRPr="00903F9A" w:rsidRDefault="00861C03" w:rsidP="004279A7">
          <w:pPr>
            <w:ind w:right="-1050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/>
            </w:rPr>
          </w:pPr>
        </w:p>
        <w:p w14:paraId="2CFEEE3A" w14:textId="77777777" w:rsidR="00065567" w:rsidRPr="00861C03" w:rsidRDefault="00065567" w:rsidP="004279A7">
          <w:pPr>
            <w:ind w:right="-1050"/>
            <w:rPr>
              <w:rFonts w:ascii="Arial" w:hAnsi="Arial" w:cs="Arial"/>
              <w:sz w:val="22"/>
              <w:vertAlign w:val="subscript"/>
              <w:lang w:val="de-DE"/>
            </w:rPr>
          </w:pPr>
        </w:p>
        <w:p w14:paraId="6CD8A552" w14:textId="77777777" w:rsidR="00F86BE1" w:rsidRPr="00861C03" w:rsidRDefault="00F86BE1" w:rsidP="004279A7">
          <w:pPr>
            <w:ind w:right="-1050"/>
            <w:rPr>
              <w:rFonts w:ascii="Arial" w:hAnsi="Arial" w:cs="Arial"/>
              <w:sz w:val="22"/>
              <w:vertAlign w:val="subscript"/>
              <w:lang w:val="de-DE"/>
            </w:rPr>
            <w:sectPr w:rsidR="00F86BE1" w:rsidRPr="00861C03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14:paraId="4E4B3718" w14:textId="77777777" w:rsidR="00110075" w:rsidRPr="00861C03" w:rsidRDefault="00CB4841" w:rsidP="00861C03">
          <w:pPr>
            <w:pStyle w:val="berschrift1"/>
            <w:keepNext w:val="0"/>
            <w:numPr>
              <w:ilvl w:val="0"/>
              <w:numId w:val="1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2"/>
              <w:szCs w:val="22"/>
            </w:rPr>
          </w:pPr>
          <w:proofErr w:type="spellStart"/>
          <w:r w:rsidRPr="00861C03">
            <w:rPr>
              <w:rFonts w:ascii="Arial" w:hAnsi="Arial" w:cs="Arial"/>
              <w:bCs w:val="0"/>
              <w:sz w:val="22"/>
              <w:szCs w:val="22"/>
            </w:rPr>
            <w:t>Hauptmerkmale</w:t>
          </w:r>
          <w:proofErr w:type="spellEnd"/>
        </w:p>
        <w:p w14:paraId="368D7ABF" w14:textId="77777777" w:rsidR="00110075" w:rsidRPr="00903F9A" w:rsidRDefault="00110075" w:rsidP="004279A7">
          <w:pPr>
            <w:ind w:right="-1050"/>
            <w:rPr>
              <w:rFonts w:ascii="Arial" w:hAnsi="Arial" w:cs="Arial"/>
              <w:sz w:val="20"/>
              <w:szCs w:val="20"/>
            </w:rPr>
          </w:pPr>
        </w:p>
        <w:p w14:paraId="629387C5" w14:textId="77777777" w:rsidR="00065567" w:rsidRPr="00903F9A" w:rsidRDefault="00065567" w:rsidP="00861C03">
          <w:pPr>
            <w:pStyle w:val="Listenabsatz"/>
            <w:numPr>
              <w:ilvl w:val="0"/>
              <w:numId w:val="2"/>
            </w:numPr>
            <w:ind w:leftChars="0" w:right="-1050"/>
            <w:rPr>
              <w:rFonts w:ascii="Arial" w:hAnsi="Arial" w:cs="Arial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 Verstärker mit 240W </w:t>
          </w:r>
        </w:p>
        <w:p w14:paraId="65D37C52" w14:textId="77777777" w:rsidR="00065567" w:rsidRPr="00903F9A" w:rsidRDefault="00065567" w:rsidP="00861C03">
          <w:pPr>
            <w:pStyle w:val="Listenabsatz"/>
            <w:numPr>
              <w:ilvl w:val="0"/>
              <w:numId w:val="2"/>
            </w:numPr>
            <w:ind w:leftChars="0" w:right="-1050"/>
            <w:rPr>
              <w:rFonts w:ascii="Arial" w:hAnsi="Arial" w:cs="Arial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1 USB Reader</w:t>
          </w:r>
        </w:p>
        <w:p w14:paraId="774373B6" w14:textId="77777777" w:rsidR="00065567" w:rsidRPr="00903F9A" w:rsidRDefault="00065567" w:rsidP="00861C03">
          <w:pPr>
            <w:pStyle w:val="Listenabsatz"/>
            <w:numPr>
              <w:ilvl w:val="0"/>
              <w:numId w:val="2"/>
            </w:numPr>
            <w:ind w:leftChars="0" w:right="-1050"/>
            <w:rPr>
              <w:rFonts w:ascii="Arial" w:hAnsi="Arial" w:cs="Arial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1 FM Reader</w:t>
          </w:r>
        </w:p>
        <w:p w14:paraId="6C61CEA0" w14:textId="72B06D44" w:rsidR="00065567" w:rsidRPr="00903F9A" w:rsidRDefault="00065567" w:rsidP="00861C03">
          <w:pPr>
            <w:pStyle w:val="Listenabsatz"/>
            <w:numPr>
              <w:ilvl w:val="0"/>
              <w:numId w:val="2"/>
            </w:numPr>
            <w:ind w:leftChars="0" w:right="-1050"/>
            <w:rPr>
              <w:rFonts w:ascii="Arial" w:hAnsi="Arial" w:cs="Arial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6 Audio Eingänge, davon 1 mit Priorität</w:t>
          </w:r>
        </w:p>
        <w:p w14:paraId="544B9B81" w14:textId="6651D4E9" w:rsidR="00CB4841" w:rsidRPr="00903F9A" w:rsidRDefault="00065567" w:rsidP="00861C03">
          <w:pPr>
            <w:pStyle w:val="Listenabsatz"/>
            <w:numPr>
              <w:ilvl w:val="0"/>
              <w:numId w:val="2"/>
            </w:numPr>
            <w:ind w:leftChars="0" w:right="-1050"/>
            <w:rPr>
              <w:rFonts w:ascii="Arial" w:hAnsi="Arial" w:cs="Arial"/>
              <w:sz w:val="20"/>
              <w:szCs w:val="20"/>
              <w:lang w:val="de-DE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5 Ausgänge (100V)</w:t>
          </w:r>
        </w:p>
        <w:p w14:paraId="739984AB" w14:textId="77777777" w:rsidR="00CB4841" w:rsidRPr="00903F9A" w:rsidRDefault="00CB4841" w:rsidP="004279A7">
          <w:pPr>
            <w:ind w:right="-1050"/>
            <w:rPr>
              <w:rFonts w:ascii="Arial" w:hAnsi="Arial" w:cs="Arial"/>
              <w:sz w:val="20"/>
              <w:szCs w:val="20"/>
              <w:lang w:val="de-DE"/>
            </w:rPr>
          </w:pPr>
        </w:p>
        <w:p w14:paraId="63838809" w14:textId="77777777" w:rsidR="00CB4841" w:rsidRPr="00903F9A" w:rsidRDefault="00CB4841" w:rsidP="004279A7">
          <w:pPr>
            <w:ind w:right="-1050"/>
            <w:rPr>
              <w:rFonts w:ascii="Arial" w:hAnsi="Arial" w:cs="Arial"/>
              <w:sz w:val="20"/>
              <w:szCs w:val="20"/>
              <w:lang w:val="de-DE"/>
            </w:rPr>
          </w:pPr>
        </w:p>
        <w:p w14:paraId="48069B1C" w14:textId="77777777" w:rsidR="00CB4841" w:rsidRPr="00903F9A" w:rsidRDefault="00CB4841" w:rsidP="004279A7">
          <w:pPr>
            <w:ind w:right="-1050"/>
            <w:rPr>
              <w:rFonts w:ascii="Arial" w:hAnsi="Arial" w:cs="Arial"/>
              <w:sz w:val="20"/>
              <w:szCs w:val="20"/>
              <w:lang w:val="de-DE"/>
            </w:rPr>
          </w:pPr>
        </w:p>
        <w:p w14:paraId="407952D8" w14:textId="77777777" w:rsidR="00CB4841" w:rsidRPr="00903F9A" w:rsidRDefault="00CB4841" w:rsidP="004279A7">
          <w:pPr>
            <w:ind w:right="-1050"/>
            <w:rPr>
              <w:rFonts w:ascii="Arial" w:hAnsi="Arial" w:cs="Arial"/>
              <w:sz w:val="20"/>
              <w:szCs w:val="20"/>
              <w:lang w:val="de-DE"/>
            </w:rPr>
          </w:pPr>
        </w:p>
        <w:p w14:paraId="096C01DD" w14:textId="77777777" w:rsidR="00CB4841" w:rsidRPr="00903F9A" w:rsidRDefault="00CB4841" w:rsidP="004279A7">
          <w:pPr>
            <w:ind w:right="-1050"/>
            <w:rPr>
              <w:rFonts w:ascii="Arial" w:hAnsi="Arial" w:cs="Arial"/>
              <w:sz w:val="20"/>
              <w:szCs w:val="20"/>
              <w:lang w:val="de-DE"/>
            </w:rPr>
          </w:pPr>
        </w:p>
        <w:p w14:paraId="0F902326" w14:textId="77777777" w:rsidR="00110075" w:rsidRPr="00903F9A" w:rsidRDefault="00110075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27A1348F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6E6A1DED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780AEDFA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56588AC7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1DD0D0FB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6EEDFB1B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3AC7376A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07A5BA0C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018AE85A" w14:textId="77777777" w:rsidR="00065567" w:rsidRDefault="00065567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54C7B035" w14:textId="77777777" w:rsidR="00903F9A" w:rsidRPr="00903F9A" w:rsidRDefault="00903F9A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7BDF1E58" w14:textId="77777777" w:rsidR="009F3DC0" w:rsidRPr="00903F9A" w:rsidRDefault="009F3DC0" w:rsidP="00110075">
          <w:pPr>
            <w:rPr>
              <w:rFonts w:ascii="Arial" w:hAnsi="Arial" w:cs="Arial"/>
              <w:sz w:val="20"/>
              <w:szCs w:val="20"/>
              <w:lang w:val="de-DE"/>
            </w:rPr>
          </w:pPr>
        </w:p>
        <w:p w14:paraId="45D34691" w14:textId="77777777" w:rsidR="00110075" w:rsidRPr="00861C03" w:rsidRDefault="00110075" w:rsidP="00861C03">
          <w:pPr>
            <w:pStyle w:val="berschrift1"/>
            <w:keepNext w:val="0"/>
            <w:numPr>
              <w:ilvl w:val="0"/>
              <w:numId w:val="1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2"/>
              <w:szCs w:val="22"/>
            </w:rPr>
          </w:pPr>
          <w:r w:rsidRPr="00861C03">
            <w:rPr>
              <w:rFonts w:ascii="Arial" w:hAnsi="Arial" w:cs="Arial"/>
              <w:bCs w:val="0"/>
              <w:sz w:val="22"/>
              <w:szCs w:val="22"/>
            </w:rPr>
            <w:t xml:space="preserve">Technische </w:t>
          </w:r>
          <w:proofErr w:type="spellStart"/>
          <w:r w:rsidRPr="00861C03">
            <w:rPr>
              <w:rFonts w:ascii="Arial" w:hAnsi="Arial" w:cs="Arial"/>
              <w:bCs w:val="0"/>
              <w:sz w:val="22"/>
              <w:szCs w:val="22"/>
            </w:rPr>
            <w:t>Eigenschaften</w:t>
          </w:r>
          <w:proofErr w:type="spellEnd"/>
        </w:p>
        <w:p w14:paraId="1D7AF32F" w14:textId="77777777" w:rsidR="00B80094" w:rsidRDefault="00B80094" w:rsidP="00B80094"/>
        <w:p w14:paraId="38AD6584" w14:textId="39F54B27" w:rsidR="00903F9A" w:rsidRPr="00903F9A" w:rsidRDefault="00903F9A" w:rsidP="00903F9A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  <w:r w:rsidRPr="00B80094">
            <w:rPr>
              <w:rFonts w:ascii="Arial" w:eastAsiaTheme="minorEastAsia" w:hAnsi="Arial" w:cs="Arial"/>
              <w:b/>
              <w:bCs/>
              <w:kern w:val="2"/>
              <w:sz w:val="20"/>
              <w:szCs w:val="20"/>
              <w:lang w:val="de-DE"/>
            </w:rPr>
            <w:t>Stromversorgung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  <w:t>150/230 VAC 50/60 Hz</w:t>
          </w:r>
        </w:p>
        <w:p w14:paraId="4CFBCEAC" w14:textId="1250DE34" w:rsidR="00903F9A" w:rsidRPr="00903F9A" w:rsidRDefault="00903F9A" w:rsidP="00861C03">
          <w:pPr>
            <w:pStyle w:val="StandardWeb"/>
            <w:numPr>
              <w:ilvl w:val="0"/>
              <w:numId w:val="4"/>
            </w:numPr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>Spannungstoleranz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  <w:t>+/-10%</w:t>
          </w:r>
        </w:p>
        <w:p w14:paraId="3A8FFC13" w14:textId="43692BDC" w:rsidR="00903F9A" w:rsidRPr="00903F9A" w:rsidRDefault="00903F9A" w:rsidP="00861C03">
          <w:pPr>
            <w:pStyle w:val="StandardWeb"/>
            <w:numPr>
              <w:ilvl w:val="0"/>
              <w:numId w:val="4"/>
            </w:numPr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>AC-Stromverbrauch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  <w:t>640W</w:t>
          </w:r>
        </w:p>
        <w:p w14:paraId="68CCE098" w14:textId="77777777" w:rsidR="00903F9A" w:rsidRPr="00903F9A" w:rsidRDefault="00903F9A" w:rsidP="00861C03">
          <w:pPr>
            <w:pStyle w:val="StandardWeb"/>
            <w:numPr>
              <w:ilvl w:val="0"/>
              <w:numId w:val="4"/>
            </w:numPr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>Elektrischer Schutz durch Sicherung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</w:p>
        <w:p w14:paraId="6D10D7E0" w14:textId="77777777" w:rsidR="00903F9A" w:rsidRPr="00903F9A" w:rsidRDefault="00903F9A" w:rsidP="00903F9A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</w:p>
        <w:p w14:paraId="10210781" w14:textId="34C46EE4" w:rsidR="00903F9A" w:rsidRPr="00903F9A" w:rsidRDefault="00903F9A" w:rsidP="00903F9A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  <w:r w:rsidRPr="00B80094">
            <w:rPr>
              <w:rFonts w:ascii="Arial" w:eastAsiaTheme="minorEastAsia" w:hAnsi="Arial" w:cs="Arial"/>
              <w:b/>
              <w:bCs/>
              <w:kern w:val="2"/>
              <w:sz w:val="20"/>
              <w:szCs w:val="20"/>
              <w:lang w:val="de-DE"/>
            </w:rPr>
            <w:t>Batteriespannung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  <w:t>24VDC +/-10%</w:t>
          </w:r>
        </w:p>
        <w:p w14:paraId="76EDB5B6" w14:textId="77777777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>Gleichstromverbrauch</w:t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</w:r>
          <w:r w:rsidRPr="00903F9A"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  <w:tab/>
            <w:t>15A</w:t>
          </w:r>
        </w:p>
        <w:p w14:paraId="21D2D866" w14:textId="77777777" w:rsidR="00903F9A" w:rsidRPr="00903F9A" w:rsidRDefault="00903F9A" w:rsidP="00903F9A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  <w:lang w:val="de-DE"/>
            </w:rPr>
          </w:pPr>
        </w:p>
        <w:p w14:paraId="4C651E8A" w14:textId="77777777" w:rsidR="00903F9A" w:rsidRPr="00B80094" w:rsidRDefault="00903F9A" w:rsidP="00903F9A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b/>
              <w:bCs/>
              <w:kern w:val="2"/>
              <w:sz w:val="20"/>
              <w:szCs w:val="20"/>
              <w:lang w:val="de-DE"/>
            </w:rPr>
          </w:pPr>
          <w:r w:rsidRPr="00B80094">
            <w:rPr>
              <w:rFonts w:ascii="Arial" w:eastAsiaTheme="minorEastAsia" w:hAnsi="Arial" w:cs="Arial"/>
              <w:b/>
              <w:bCs/>
              <w:kern w:val="2"/>
              <w:sz w:val="20"/>
              <w:szCs w:val="20"/>
              <w:lang w:val="de-DE"/>
            </w:rPr>
            <w:t>6 Audio Inputs</w:t>
          </w:r>
        </w:p>
        <w:p w14:paraId="44231A11" w14:textId="50665674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XLR Mic1: 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 Vorrangiger Eingang</w:t>
          </w:r>
        </w:p>
        <w:p w14:paraId="440E6222" w14:textId="0992CA1B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XLR Mic2: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</w:p>
        <w:p w14:paraId="26A1AF65" w14:textId="03848990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XLR Mic3: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 oder Tel: 100mV,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</w:p>
        <w:p w14:paraId="19D6903C" w14:textId="4768D2A9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XLR Mic4: 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 oder AUX1: 100mV, 22K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</w:p>
        <w:p w14:paraId="40B3CC61" w14:textId="519CDD59" w:rsidR="00903F9A" w:rsidRPr="00903F9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XLR Mic5: 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1mV, 600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 oder AUX2: 100mV, 22K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</w:p>
        <w:p w14:paraId="7E2067E9" w14:textId="77777777" w:rsidR="00F31EAA" w:rsidRPr="00F31EAA" w:rsidRDefault="00903F9A" w:rsidP="00861C03">
          <w:pPr>
            <w:pStyle w:val="StandardWeb"/>
            <w:numPr>
              <w:ilvl w:val="0"/>
              <w:numId w:val="3"/>
            </w:numPr>
            <w:spacing w:before="0" w:beforeAutospacing="0" w:after="0" w:line="260" w:lineRule="exact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AUX3: </w:t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="00F31EAA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100mV, 22K </w:t>
          </w:r>
          <w:r w:rsidRPr="00903F9A">
            <w:rPr>
              <w:rFonts w:ascii="Arial" w:hAnsi="Arial" w:cs="Arial"/>
              <w:sz w:val="20"/>
              <w:szCs w:val="20"/>
            </w:rPr>
            <w:t>Ω</w:t>
          </w:r>
          <w:r w:rsidRPr="00903F9A">
            <w:rPr>
              <w:rFonts w:ascii="Arial" w:hAnsi="Arial" w:cs="Arial"/>
              <w:sz w:val="20"/>
              <w:szCs w:val="20"/>
              <w:lang w:val="de-DE"/>
            </w:rPr>
            <w:t xml:space="preserve"> oder AUX2 (Lautstärke </w:t>
          </w:r>
        </w:p>
        <w:p w14:paraId="18BE2DD6" w14:textId="48FBC77A" w:rsidR="002307C0" w:rsidRPr="00903F9A" w:rsidRDefault="00903F9A" w:rsidP="00F31EAA">
          <w:pPr>
            <w:pStyle w:val="StandardWeb"/>
            <w:spacing w:before="0" w:beforeAutospacing="0" w:after="0" w:line="260" w:lineRule="exact"/>
            <w:ind w:left="4560" w:firstLine="240"/>
            <w:jc w:val="both"/>
            <w:rPr>
              <w:rFonts w:ascii="Arial" w:hAnsi="Arial" w:cs="Arial"/>
              <w:sz w:val="20"/>
              <w:szCs w:val="20"/>
              <w:lang w:val="zh-TW"/>
            </w:rPr>
          </w:pPr>
          <w:r w:rsidRPr="00903F9A">
            <w:rPr>
              <w:rFonts w:ascii="Arial" w:hAnsi="Arial" w:cs="Arial"/>
              <w:sz w:val="20"/>
              <w:szCs w:val="20"/>
              <w:lang w:val="de-DE"/>
            </w:rPr>
            <w:t>auf der Rückseite)</w:t>
          </w:r>
        </w:p>
      </w:sdtContent>
    </w:sdt>
    <w:p w14:paraId="1C466AF6" w14:textId="77777777" w:rsidR="00903F9A" w:rsidRDefault="00903F9A" w:rsidP="00903F9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21B724FD" w14:textId="4A5A3207" w:rsidR="00903F9A" w:rsidRPr="00B80094" w:rsidRDefault="00903F9A" w:rsidP="00903F9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B80094">
        <w:rPr>
          <w:rFonts w:ascii="Arial" w:hAnsi="Arial" w:cs="Arial"/>
          <w:b/>
          <w:bCs/>
          <w:sz w:val="20"/>
          <w:szCs w:val="20"/>
          <w:lang w:val="de-DE"/>
        </w:rPr>
        <w:t>2 Audio Inputs</w:t>
      </w:r>
    </w:p>
    <w:p w14:paraId="45AB29E7" w14:textId="4A1172AE" w:rsidR="00903F9A" w:rsidRPr="00F31EAA" w:rsidRDefault="00903F9A" w:rsidP="00861C03">
      <w:pPr>
        <w:pStyle w:val="StandardWeb"/>
        <w:numPr>
          <w:ilvl w:val="0"/>
          <w:numId w:val="5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zh-TW"/>
        </w:rPr>
      </w:pPr>
      <w:r w:rsidRPr="00903F9A">
        <w:rPr>
          <w:rFonts w:ascii="Arial" w:hAnsi="Arial" w:cs="Arial"/>
          <w:sz w:val="20"/>
          <w:szCs w:val="20"/>
        </w:rPr>
        <w:t>Tape OUT &amp; Aux OUT</w:t>
      </w:r>
      <w:r w:rsidRPr="00903F9A">
        <w:rPr>
          <w:rFonts w:ascii="Arial" w:hAnsi="Arial" w:cs="Arial"/>
          <w:sz w:val="20"/>
          <w:szCs w:val="20"/>
        </w:rPr>
        <w:tab/>
      </w:r>
      <w:r w:rsidRPr="00903F9A">
        <w:rPr>
          <w:rFonts w:ascii="Arial" w:hAnsi="Arial" w:cs="Arial"/>
          <w:sz w:val="20"/>
          <w:szCs w:val="20"/>
        </w:rPr>
        <w:tab/>
      </w:r>
      <w:r w:rsidRPr="00903F9A">
        <w:rPr>
          <w:rFonts w:ascii="Arial" w:hAnsi="Arial" w:cs="Arial"/>
          <w:sz w:val="20"/>
          <w:szCs w:val="20"/>
        </w:rPr>
        <w:tab/>
      </w:r>
      <w:r w:rsidRPr="00903F9A">
        <w:rPr>
          <w:rFonts w:ascii="Arial" w:hAnsi="Arial" w:cs="Arial"/>
          <w:sz w:val="20"/>
          <w:szCs w:val="20"/>
        </w:rPr>
        <w:tab/>
      </w:r>
      <w:r w:rsidRPr="00903F9A">
        <w:rPr>
          <w:rFonts w:ascii="Arial" w:hAnsi="Arial" w:cs="Arial"/>
          <w:sz w:val="20"/>
          <w:szCs w:val="20"/>
        </w:rPr>
        <w:tab/>
        <w:t>1V,</w:t>
      </w:r>
      <w:r>
        <w:rPr>
          <w:rFonts w:ascii="Arial" w:hAnsi="Arial" w:cs="Arial"/>
          <w:sz w:val="20"/>
          <w:szCs w:val="20"/>
        </w:rPr>
        <w:t xml:space="preserve"> 150</w:t>
      </w:r>
      <w:r w:rsidRPr="00903F9A">
        <w:rPr>
          <w:rFonts w:ascii="Arial" w:hAnsi="Arial" w:cs="Arial"/>
          <w:sz w:val="20"/>
          <w:szCs w:val="20"/>
        </w:rPr>
        <w:t xml:space="preserve"> Ω</w:t>
      </w:r>
    </w:p>
    <w:p w14:paraId="4B902645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FEEE551" w14:textId="18C157E8" w:rsidR="00F31EAA" w:rsidRPr="00B80094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B80094">
        <w:rPr>
          <w:rFonts w:ascii="Arial" w:hAnsi="Arial" w:cs="Arial"/>
          <w:b/>
          <w:bCs/>
          <w:sz w:val="20"/>
          <w:szCs w:val="20"/>
        </w:rPr>
        <w:t>Outputs</w:t>
      </w:r>
    </w:p>
    <w:p w14:paraId="53194799" w14:textId="6FF3D0A1" w:rsidR="00F31EAA" w:rsidRDefault="00F31EAA" w:rsidP="00861C03">
      <w:pPr>
        <w:pStyle w:val="StandardWeb"/>
        <w:numPr>
          <w:ilvl w:val="0"/>
          <w:numId w:val="5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Ausgangsleistung: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240W - 100V</w:t>
      </w:r>
    </w:p>
    <w:p w14:paraId="427561E1" w14:textId="4F27D5D5" w:rsidR="00F31EAA" w:rsidRDefault="00F31EAA" w:rsidP="00861C03">
      <w:pPr>
        <w:pStyle w:val="StandardWeb"/>
        <w:numPr>
          <w:ilvl w:val="0"/>
          <w:numId w:val="5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5 Lautsprecherausgänge: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100V</w:t>
      </w:r>
    </w:p>
    <w:p w14:paraId="1CC15229" w14:textId="5ADAF109" w:rsidR="00F31EAA" w:rsidRDefault="00F31EAA" w:rsidP="00861C03">
      <w:pPr>
        <w:pStyle w:val="StandardWeb"/>
        <w:numPr>
          <w:ilvl w:val="0"/>
          <w:numId w:val="5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Musik / Sprache: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 xml:space="preserve">8 </w:t>
      </w:r>
      <w:r w:rsidRPr="00F31EAA">
        <w:rPr>
          <w:rFonts w:ascii="Arial" w:hAnsi="Arial" w:cs="Arial"/>
          <w:sz w:val="20"/>
          <w:szCs w:val="20"/>
        </w:rPr>
        <w:t>Ω</w:t>
      </w:r>
      <w:r w:rsidRPr="00F31EAA">
        <w:rPr>
          <w:rFonts w:ascii="Arial" w:hAnsi="Arial" w:cs="Arial"/>
          <w:sz w:val="20"/>
          <w:szCs w:val="20"/>
          <w:lang w:val="de-DE"/>
        </w:rPr>
        <w:t xml:space="preserve"> / 70V /100V</w:t>
      </w:r>
    </w:p>
    <w:p w14:paraId="541E3E27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5A49A511" w14:textId="3603C99F" w:rsidR="00F31EAA" w:rsidRPr="00B80094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B80094">
        <w:rPr>
          <w:rFonts w:ascii="Arial" w:hAnsi="Arial" w:cs="Arial"/>
          <w:b/>
          <w:bCs/>
          <w:sz w:val="20"/>
          <w:szCs w:val="20"/>
          <w:lang w:val="de-DE"/>
        </w:rPr>
        <w:t>Klangregler</w:t>
      </w:r>
    </w:p>
    <w:p w14:paraId="611C1B90" w14:textId="5172A161" w:rsidR="00F31EAA" w:rsidRDefault="00F31EAA" w:rsidP="00861C03">
      <w:pPr>
        <w:pStyle w:val="StandardWeb"/>
        <w:numPr>
          <w:ilvl w:val="0"/>
          <w:numId w:val="6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Bass: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+/- 10 dB bei 100 Hz</w:t>
      </w:r>
    </w:p>
    <w:p w14:paraId="15B621C8" w14:textId="1021CB4A" w:rsidR="00F31EAA" w:rsidRDefault="00F31EAA" w:rsidP="00861C03">
      <w:pPr>
        <w:pStyle w:val="StandardWeb"/>
        <w:numPr>
          <w:ilvl w:val="0"/>
          <w:numId w:val="6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F31EAA">
        <w:rPr>
          <w:rFonts w:ascii="Arial" w:hAnsi="Arial" w:cs="Arial"/>
          <w:sz w:val="20"/>
          <w:szCs w:val="20"/>
          <w:lang w:val="de-DE"/>
        </w:rPr>
        <w:t>Treble</w:t>
      </w:r>
      <w:proofErr w:type="spellEnd"/>
      <w:r w:rsidRPr="00F31EAA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+/- 10 dB bei 10 kHz</w:t>
      </w:r>
    </w:p>
    <w:p w14:paraId="0D533DE6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69E7FDB6" w14:textId="2B182A48" w:rsidR="00F31EAA" w:rsidRPr="00B80094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B80094">
        <w:rPr>
          <w:rFonts w:ascii="Arial" w:hAnsi="Arial" w:cs="Arial"/>
          <w:b/>
          <w:bCs/>
          <w:sz w:val="20"/>
          <w:szCs w:val="20"/>
          <w:lang w:val="de-DE"/>
        </w:rPr>
        <w:t>Bedienelemente und Anzeigen auf der Vorderseite</w:t>
      </w:r>
    </w:p>
    <w:p w14:paraId="221B7388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1 Ein-/Ausschalte</w:t>
      </w:r>
      <w:r>
        <w:rPr>
          <w:rFonts w:ascii="Arial" w:hAnsi="Arial" w:cs="Arial"/>
          <w:sz w:val="20"/>
          <w:szCs w:val="20"/>
          <w:lang w:val="de-DE"/>
        </w:rPr>
        <w:t>r</w:t>
      </w:r>
    </w:p>
    <w:p w14:paraId="5D1484F0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1 Zonenkontrollschalter</w:t>
      </w:r>
    </w:p>
    <w:p w14:paraId="0EDDB618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1 Ein-/Aus-Anzeige-LED</w:t>
      </w:r>
    </w:p>
    <w:p w14:paraId="7487F2AE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Ausgangspegelanzeige</w:t>
      </w:r>
    </w:p>
    <w:p w14:paraId="080BFD68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5 Lautstärkeregler</w:t>
      </w:r>
    </w:p>
    <w:p w14:paraId="72AE4A08" w14:textId="77777777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Haupt-Lautstärkeregler</w:t>
      </w:r>
    </w:p>
    <w:p w14:paraId="72C07550" w14:textId="04CE2000" w:rsidR="00F31EAA" w:rsidRDefault="00F31EAA" w:rsidP="00861C03">
      <w:pPr>
        <w:pStyle w:val="StandardWeb"/>
        <w:numPr>
          <w:ilvl w:val="0"/>
          <w:numId w:val="7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USB (MP3, WMA) &amp; Tuner FM (87.5-108MHz) Modes</w:t>
      </w:r>
    </w:p>
    <w:p w14:paraId="3D528AF5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61648F7A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7F0EC85C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50B4078F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0F81C078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1896F6B5" w14:textId="77777777" w:rsidR="00B80094" w:rsidRDefault="00B80094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3A561CA5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4D0B4E6F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60760699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2082791D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1CBAB480" w14:textId="71325E90" w:rsidR="00F31EAA" w:rsidRPr="00861C03" w:rsidRDefault="00F31EAA" w:rsidP="00861C03">
      <w:pPr>
        <w:pStyle w:val="StandardWeb"/>
        <w:numPr>
          <w:ilvl w:val="0"/>
          <w:numId w:val="1"/>
        </w:numPr>
        <w:spacing w:before="0" w:beforeAutospacing="0" w:after="0" w:line="260" w:lineRule="exact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861C03">
        <w:rPr>
          <w:rFonts w:ascii="Arial" w:hAnsi="Arial" w:cs="Arial"/>
          <w:b/>
          <w:bCs/>
          <w:sz w:val="22"/>
          <w:szCs w:val="22"/>
        </w:rPr>
        <w:t xml:space="preserve">AUDIO </w:t>
      </w:r>
      <w:proofErr w:type="spellStart"/>
      <w:r w:rsidRPr="00861C03">
        <w:rPr>
          <w:rFonts w:ascii="Arial" w:hAnsi="Arial" w:cs="Arial"/>
          <w:b/>
          <w:bCs/>
          <w:sz w:val="22"/>
          <w:szCs w:val="22"/>
        </w:rPr>
        <w:t>Eigenschaften</w:t>
      </w:r>
      <w:proofErr w:type="spellEnd"/>
    </w:p>
    <w:p w14:paraId="19311F74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9E3C45F" w14:textId="50CF7628" w:rsidR="00F31EAA" w:rsidRDefault="00F31EAA" w:rsidP="00861C03">
      <w:pPr>
        <w:pStyle w:val="StandardWeb"/>
        <w:numPr>
          <w:ilvl w:val="0"/>
          <w:numId w:val="8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Frequenzgang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50Hz - 15 kHz +/- 3dB</w:t>
      </w:r>
    </w:p>
    <w:p w14:paraId="2096BD8F" w14:textId="456EAF9E" w:rsidR="00F31EAA" w:rsidRDefault="00F31EAA" w:rsidP="00861C03">
      <w:pPr>
        <w:pStyle w:val="StandardWeb"/>
        <w:numPr>
          <w:ilvl w:val="0"/>
          <w:numId w:val="8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Totale harmonische Verzerrung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&lt; 1% bei 1 kHz</w:t>
      </w:r>
    </w:p>
    <w:p w14:paraId="1B143B02" w14:textId="4610CE2D" w:rsidR="00F31EAA" w:rsidRDefault="00F31EAA" w:rsidP="00861C03">
      <w:pPr>
        <w:pStyle w:val="StandardWeb"/>
        <w:numPr>
          <w:ilvl w:val="0"/>
          <w:numId w:val="8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SNR: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86 dB</w:t>
      </w:r>
    </w:p>
    <w:p w14:paraId="75C527B8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269AE046" w14:textId="77777777" w:rsidR="00F31EAA" w:rsidRPr="00B80094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B80094">
        <w:rPr>
          <w:rFonts w:ascii="Arial" w:hAnsi="Arial" w:cs="Arial"/>
          <w:b/>
          <w:bCs/>
          <w:sz w:val="20"/>
          <w:szCs w:val="20"/>
          <w:lang w:val="de-DE"/>
        </w:rPr>
        <w:t>Anschlüsse Rückseite</w:t>
      </w:r>
    </w:p>
    <w:p w14:paraId="0F9C592F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Haupteingangsbuchse</w:t>
      </w:r>
    </w:p>
    <w:p w14:paraId="136E79C8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DC-Stromversorgungsklemmen</w:t>
      </w:r>
    </w:p>
    <w:p w14:paraId="2A3248C3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Lautsprecherausgangsanschlüsse</w:t>
      </w:r>
    </w:p>
    <w:p w14:paraId="44F61BD3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Spannungswähler</w:t>
      </w:r>
    </w:p>
    <w:p w14:paraId="1F971B0F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Aux Output (RCA-Buchse)</w:t>
      </w:r>
    </w:p>
    <w:p w14:paraId="2A693EFB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Tape Output (RCA-Buchse)</w:t>
      </w:r>
    </w:p>
    <w:p w14:paraId="1DA57E9D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Aux 3 </w:t>
      </w:r>
      <w:proofErr w:type="spellStart"/>
      <w:r w:rsidRPr="00F31EAA">
        <w:rPr>
          <w:rFonts w:ascii="Arial" w:hAnsi="Arial" w:cs="Arial"/>
          <w:sz w:val="20"/>
          <w:szCs w:val="20"/>
          <w:lang w:val="de-DE"/>
        </w:rPr>
        <w:t>Intput</w:t>
      </w:r>
      <w:proofErr w:type="spellEnd"/>
      <w:r w:rsidRPr="00F31EAA">
        <w:rPr>
          <w:rFonts w:ascii="Arial" w:hAnsi="Arial" w:cs="Arial"/>
          <w:sz w:val="20"/>
          <w:szCs w:val="20"/>
          <w:lang w:val="de-DE"/>
        </w:rPr>
        <w:t xml:space="preserve"> (RCA-Buchse) </w:t>
      </w:r>
    </w:p>
    <w:p w14:paraId="14EC32F5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AUX 3-Pegelsteuerung</w:t>
      </w:r>
    </w:p>
    <w:p w14:paraId="694D55E4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5 MIC </w:t>
      </w:r>
      <w:proofErr w:type="spellStart"/>
      <w:r w:rsidRPr="00F31EAA">
        <w:rPr>
          <w:rFonts w:ascii="Arial" w:hAnsi="Arial" w:cs="Arial"/>
          <w:sz w:val="20"/>
          <w:szCs w:val="20"/>
          <w:lang w:val="de-DE"/>
        </w:rPr>
        <w:t>Intputs</w:t>
      </w:r>
      <w:proofErr w:type="spellEnd"/>
      <w:r w:rsidRPr="00F31EAA">
        <w:rPr>
          <w:rFonts w:ascii="Arial" w:hAnsi="Arial" w:cs="Arial"/>
          <w:sz w:val="20"/>
          <w:szCs w:val="20"/>
          <w:lang w:val="de-DE"/>
        </w:rPr>
        <w:t xml:space="preserve"> (XLR Buchse)</w:t>
      </w:r>
    </w:p>
    <w:p w14:paraId="203E2EC0" w14:textId="77777777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2 Aux </w:t>
      </w:r>
      <w:proofErr w:type="spellStart"/>
      <w:r w:rsidRPr="00F31EAA">
        <w:rPr>
          <w:rFonts w:ascii="Arial" w:hAnsi="Arial" w:cs="Arial"/>
          <w:sz w:val="20"/>
          <w:szCs w:val="20"/>
          <w:lang w:val="de-DE"/>
        </w:rPr>
        <w:t>Intputs</w:t>
      </w:r>
      <w:proofErr w:type="spellEnd"/>
      <w:r w:rsidRPr="00F31EAA">
        <w:rPr>
          <w:rFonts w:ascii="Arial" w:hAnsi="Arial" w:cs="Arial"/>
          <w:sz w:val="20"/>
          <w:szCs w:val="20"/>
          <w:lang w:val="de-DE"/>
        </w:rPr>
        <w:t xml:space="preserve"> (RCA Buchse)</w:t>
      </w:r>
    </w:p>
    <w:p w14:paraId="42139D0F" w14:textId="0BED0DFC" w:rsidR="00F31EAA" w:rsidRDefault="00F31EAA" w:rsidP="00861C03">
      <w:pPr>
        <w:pStyle w:val="StandardWeb"/>
        <w:numPr>
          <w:ilvl w:val="0"/>
          <w:numId w:val="9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Tel.-Seiteneingabe</w:t>
      </w:r>
    </w:p>
    <w:p w14:paraId="1B7DA053" w14:textId="77777777" w:rsidR="00F31EAA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67A7D634" w14:textId="014786EA" w:rsidR="00F31EAA" w:rsidRPr="00B80094" w:rsidRDefault="00F31EAA" w:rsidP="00F31EAA">
      <w:pPr>
        <w:pStyle w:val="StandardWeb"/>
        <w:spacing w:before="0" w:beforeAutospacing="0" w:after="0" w:line="260" w:lineRule="exact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B80094">
        <w:rPr>
          <w:rFonts w:ascii="Arial" w:hAnsi="Arial" w:cs="Arial"/>
          <w:b/>
          <w:bCs/>
          <w:sz w:val="20"/>
          <w:szCs w:val="20"/>
          <w:lang w:val="de-DE"/>
        </w:rPr>
        <w:t>Mechanisch</w:t>
      </w:r>
    </w:p>
    <w:p w14:paraId="010CED32" w14:textId="77777777" w:rsidR="00B80094" w:rsidRDefault="00F31EAA" w:rsidP="00861C03">
      <w:pPr>
        <w:pStyle w:val="StandardWeb"/>
        <w:numPr>
          <w:ilvl w:val="0"/>
          <w:numId w:val="10"/>
        </w:numPr>
        <w:spacing w:before="0" w:beforeAutospacing="0" w:after="0" w:line="260" w:lineRule="exact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Montage: </w:t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 xml:space="preserve">19" 2HE </w:t>
      </w:r>
      <w:proofErr w:type="spellStart"/>
      <w:r w:rsidRPr="00F31EAA">
        <w:rPr>
          <w:rFonts w:ascii="Arial" w:hAnsi="Arial" w:cs="Arial"/>
          <w:sz w:val="20"/>
          <w:szCs w:val="20"/>
          <w:lang w:val="de-DE"/>
        </w:rPr>
        <w:t>Rackmontage</w:t>
      </w:r>
      <w:proofErr w:type="spellEnd"/>
      <w:r w:rsidRPr="00F31EAA">
        <w:rPr>
          <w:rFonts w:ascii="Arial" w:hAnsi="Arial" w:cs="Arial"/>
          <w:sz w:val="20"/>
          <w:szCs w:val="20"/>
          <w:lang w:val="de-DE"/>
        </w:rPr>
        <w:t xml:space="preserve"> oder als </w:t>
      </w:r>
    </w:p>
    <w:p w14:paraId="61DE3FEC" w14:textId="605391CA" w:rsidR="00B80094" w:rsidRDefault="00F31EAA" w:rsidP="00B80094">
      <w:pPr>
        <w:pStyle w:val="StandardWeb"/>
        <w:spacing w:before="0" w:beforeAutospacing="0" w:after="0" w:line="260" w:lineRule="exact"/>
        <w:ind w:left="4560" w:firstLine="240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>Tischgerät</w:t>
      </w:r>
    </w:p>
    <w:p w14:paraId="3FBFC7E6" w14:textId="2E347D3B" w:rsidR="00B80094" w:rsidRDefault="00F31EAA" w:rsidP="00861C03">
      <w:pPr>
        <w:pStyle w:val="StandardWeb"/>
        <w:numPr>
          <w:ilvl w:val="0"/>
          <w:numId w:val="10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Farbe: </w:t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  <w:t>S</w:t>
      </w:r>
      <w:r w:rsidRPr="00F31EAA">
        <w:rPr>
          <w:rFonts w:ascii="Arial" w:hAnsi="Arial" w:cs="Arial"/>
          <w:sz w:val="20"/>
          <w:szCs w:val="20"/>
          <w:lang w:val="de-DE"/>
        </w:rPr>
        <w:t>chwarz</w:t>
      </w:r>
    </w:p>
    <w:p w14:paraId="6E4E7A1E" w14:textId="28F99018" w:rsidR="00B80094" w:rsidRDefault="00F31EAA" w:rsidP="00861C03">
      <w:pPr>
        <w:pStyle w:val="StandardWeb"/>
        <w:numPr>
          <w:ilvl w:val="0"/>
          <w:numId w:val="10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Abmessungen (L x B x H): </w:t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425 x 88 x 305 mm</w:t>
      </w:r>
    </w:p>
    <w:p w14:paraId="59E764E5" w14:textId="7F654428" w:rsidR="00F31EAA" w:rsidRPr="00F31EAA" w:rsidRDefault="00F31EAA" w:rsidP="00861C03">
      <w:pPr>
        <w:pStyle w:val="StandardWeb"/>
        <w:numPr>
          <w:ilvl w:val="0"/>
          <w:numId w:val="10"/>
        </w:numPr>
        <w:spacing w:before="0" w:beforeAutospacing="0" w:after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F31EAA">
        <w:rPr>
          <w:rFonts w:ascii="Arial" w:hAnsi="Arial" w:cs="Arial"/>
          <w:sz w:val="20"/>
          <w:szCs w:val="20"/>
          <w:lang w:val="de-DE"/>
        </w:rPr>
        <w:t xml:space="preserve">Gewicht: </w:t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="00B80094">
        <w:rPr>
          <w:rFonts w:ascii="Arial" w:hAnsi="Arial" w:cs="Arial"/>
          <w:sz w:val="20"/>
          <w:szCs w:val="20"/>
          <w:lang w:val="de-DE"/>
        </w:rPr>
        <w:tab/>
      </w:r>
      <w:r w:rsidRPr="00F31EAA">
        <w:rPr>
          <w:rFonts w:ascii="Arial" w:hAnsi="Arial" w:cs="Arial"/>
          <w:sz w:val="20"/>
          <w:szCs w:val="20"/>
          <w:lang w:val="de-DE"/>
        </w:rPr>
        <w:t>10.8 kg</w:t>
      </w:r>
    </w:p>
    <w:sectPr w:rsidR="00F31EAA" w:rsidRPr="00F31EAA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885C" w14:textId="77777777" w:rsidR="00F80282" w:rsidRDefault="00F80282" w:rsidP="0051148C">
      <w:r>
        <w:separator/>
      </w:r>
    </w:p>
  </w:endnote>
  <w:endnote w:type="continuationSeparator" w:id="0">
    <w:p w14:paraId="3F38A411" w14:textId="77777777" w:rsidR="00F80282" w:rsidRDefault="00F80282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861C03" w14:paraId="7173D086" w14:textId="77777777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12613A74" w14:textId="77777777" w:rsidR="00504AFD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370C38ED" w14:textId="2DEA40B8" w:rsidR="00504AFD" w:rsidRPr="00065567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065567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</w:t>
          </w:r>
          <w:r w:rsidR="00065567" w:rsidRPr="00065567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>Deutschland GmbH</w:t>
          </w:r>
          <w:r w:rsidRPr="00065567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 </w:t>
          </w:r>
        </w:p>
        <w:p w14:paraId="6AF0AC32" w14:textId="2376A671" w:rsidR="00781CCF" w:rsidRPr="00065567" w:rsidRDefault="00065567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>
            <w:rPr>
              <w:rFonts w:ascii="Arial" w:hAnsi="Arial" w:cs="Arial"/>
              <w:sz w:val="15"/>
              <w:szCs w:val="15"/>
              <w:lang w:val="de-DE"/>
            </w:rPr>
            <w:t>Bahnhofstrasse 18 – 74906 Bad Rappenau - Deutschland</w:t>
          </w:r>
        </w:p>
        <w:p w14:paraId="2E0ADAAC" w14:textId="0F5E65E3" w:rsidR="00781CCF" w:rsidRPr="00065567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  <w:lang w:val="de-DE"/>
            </w:rPr>
          </w:pPr>
          <w:r w:rsidRPr="00065567">
            <w:rPr>
              <w:rFonts w:ascii="Arial" w:hAnsi="Arial" w:cs="Arial"/>
              <w:sz w:val="15"/>
              <w:szCs w:val="15"/>
              <w:lang w:val="de-DE"/>
            </w:rPr>
            <w:t>Tel: +</w:t>
          </w:r>
          <w:r w:rsidR="00065567">
            <w:rPr>
              <w:rFonts w:ascii="Arial" w:hAnsi="Arial" w:cs="Arial"/>
              <w:sz w:val="15"/>
              <w:szCs w:val="15"/>
              <w:lang w:val="de-DE"/>
            </w:rPr>
            <w:t>49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(0)</w:t>
          </w:r>
          <w:r w:rsidR="00065567">
            <w:rPr>
              <w:rFonts w:ascii="Arial" w:hAnsi="Arial" w:cs="Arial"/>
              <w:sz w:val="15"/>
              <w:szCs w:val="15"/>
              <w:lang w:val="de-DE"/>
            </w:rPr>
            <w:t>7264 7024060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</w:t>
          </w:r>
          <w:hyperlink r:id="rId1" w:history="1">
            <w:r w:rsidR="00065567" w:rsidRPr="00415CE4">
              <w:rPr>
                <w:rStyle w:val="Hyperlink"/>
                <w:rFonts w:ascii="Arial" w:hAnsi="Arial" w:cs="Arial"/>
                <w:sz w:val="15"/>
                <w:szCs w:val="15"/>
                <w:lang w:val="de-DE"/>
              </w:rPr>
              <w:t>www.ateis-deutschland.de</w:t>
            </w:r>
          </w:hyperlink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proofErr w:type="spellStart"/>
          <w:r w:rsidRPr="00065567">
            <w:rPr>
              <w:rFonts w:ascii="Arial" w:hAnsi="Arial" w:cs="Arial"/>
              <w:sz w:val="15"/>
              <w:szCs w:val="15"/>
              <w:lang w:val="de-DE"/>
            </w:rPr>
            <w:t>info</w:t>
          </w:r>
          <w:r w:rsidR="00065567">
            <w:rPr>
              <w:rFonts w:ascii="Arial" w:hAnsi="Arial" w:cs="Arial"/>
              <w:sz w:val="15"/>
              <w:szCs w:val="15"/>
              <w:lang w:val="de-DE"/>
            </w:rPr>
            <w:t>.de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>@ateis</w:t>
          </w:r>
          <w:r w:rsidR="00065567">
            <w:rPr>
              <w:rFonts w:ascii="Arial" w:hAnsi="Arial" w:cs="Arial"/>
              <w:sz w:val="15"/>
              <w:szCs w:val="15"/>
              <w:lang w:val="de-DE"/>
            </w:rPr>
            <w:t>.global</w:t>
          </w:r>
          <w:proofErr w:type="spellEnd"/>
        </w:p>
      </w:tc>
    </w:tr>
  </w:tbl>
  <w:p w14:paraId="03138EEF" w14:textId="77777777" w:rsidR="00504AFD" w:rsidRPr="00065567" w:rsidRDefault="00504AFD" w:rsidP="00366232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RPr="00861C03" w14:paraId="199B4201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4D894E11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2646D03A" w14:textId="77777777" w:rsidR="00861C03" w:rsidRPr="00065567" w:rsidRDefault="00861C03" w:rsidP="00861C03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065567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Deutschland GmbH </w:t>
          </w:r>
        </w:p>
        <w:p w14:paraId="05AEF526" w14:textId="77777777" w:rsidR="00861C03" w:rsidRPr="00065567" w:rsidRDefault="00861C03" w:rsidP="00861C03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>
            <w:rPr>
              <w:rFonts w:ascii="Arial" w:hAnsi="Arial" w:cs="Arial"/>
              <w:sz w:val="15"/>
              <w:szCs w:val="15"/>
              <w:lang w:val="de-DE"/>
            </w:rPr>
            <w:t>Bahnhofstrasse 18 – 74906 Bad Rappenau - Deutschland</w:t>
          </w:r>
        </w:p>
        <w:p w14:paraId="27238B14" w14:textId="23FF6F80" w:rsidR="00181C3C" w:rsidRPr="00065567" w:rsidRDefault="00861C03" w:rsidP="00861C03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065567">
            <w:rPr>
              <w:rFonts w:ascii="Arial" w:hAnsi="Arial" w:cs="Arial"/>
              <w:sz w:val="15"/>
              <w:szCs w:val="15"/>
              <w:lang w:val="de-DE"/>
            </w:rPr>
            <w:t>Tel: +</w:t>
          </w:r>
          <w:r>
            <w:rPr>
              <w:rFonts w:ascii="Arial" w:hAnsi="Arial" w:cs="Arial"/>
              <w:sz w:val="15"/>
              <w:szCs w:val="15"/>
              <w:lang w:val="de-DE"/>
            </w:rPr>
            <w:t>49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(0)</w:t>
          </w:r>
          <w:r>
            <w:rPr>
              <w:rFonts w:ascii="Arial" w:hAnsi="Arial" w:cs="Arial"/>
              <w:sz w:val="15"/>
              <w:szCs w:val="15"/>
              <w:lang w:val="de-DE"/>
            </w:rPr>
            <w:t>7264 7024060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</w:t>
          </w:r>
          <w:hyperlink r:id="rId1" w:history="1">
            <w:r w:rsidRPr="00415CE4">
              <w:rPr>
                <w:rStyle w:val="Hyperlink"/>
                <w:rFonts w:ascii="Arial" w:hAnsi="Arial" w:cs="Arial"/>
                <w:sz w:val="15"/>
                <w:szCs w:val="15"/>
                <w:lang w:val="de-DE"/>
              </w:rPr>
              <w:t>www.ateis-deutschland.de</w:t>
            </w:r>
          </w:hyperlink>
          <w:r w:rsidRPr="00065567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proofErr w:type="spellStart"/>
          <w:r w:rsidRPr="00065567">
            <w:rPr>
              <w:rFonts w:ascii="Arial" w:hAnsi="Arial" w:cs="Arial"/>
              <w:sz w:val="15"/>
              <w:szCs w:val="15"/>
              <w:lang w:val="de-DE"/>
            </w:rPr>
            <w:t>info</w:t>
          </w:r>
          <w:r>
            <w:rPr>
              <w:rFonts w:ascii="Arial" w:hAnsi="Arial" w:cs="Arial"/>
              <w:sz w:val="15"/>
              <w:szCs w:val="15"/>
              <w:lang w:val="de-DE"/>
            </w:rPr>
            <w:t>.de</w:t>
          </w:r>
          <w:r w:rsidRPr="00065567">
            <w:rPr>
              <w:rFonts w:ascii="Arial" w:hAnsi="Arial" w:cs="Arial"/>
              <w:sz w:val="15"/>
              <w:szCs w:val="15"/>
              <w:lang w:val="de-DE"/>
            </w:rPr>
            <w:t>@ateis</w:t>
          </w:r>
          <w:r>
            <w:rPr>
              <w:rFonts w:ascii="Arial" w:hAnsi="Arial" w:cs="Arial"/>
              <w:sz w:val="15"/>
              <w:szCs w:val="15"/>
              <w:lang w:val="de-DE"/>
            </w:rPr>
            <w:t>.global</w:t>
          </w:r>
          <w:proofErr w:type="spellEnd"/>
        </w:p>
      </w:tc>
    </w:tr>
  </w:tbl>
  <w:p w14:paraId="743FDBA1" w14:textId="77777777" w:rsidR="00181C3C" w:rsidRPr="00065567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A62A" w14:textId="77777777" w:rsidR="00F80282" w:rsidRDefault="00F80282" w:rsidP="0051148C">
      <w:r>
        <w:separator/>
      </w:r>
    </w:p>
  </w:footnote>
  <w:footnote w:type="continuationSeparator" w:id="0">
    <w:p w14:paraId="212F25DE" w14:textId="77777777" w:rsidR="00F80282" w:rsidRDefault="00F80282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14:paraId="529A0A52" w14:textId="77777777" w:rsidTr="00C74935">
      <w:trPr>
        <w:trHeight w:val="300"/>
      </w:trPr>
      <w:tc>
        <w:tcPr>
          <w:tcW w:w="603" w:type="pct"/>
        </w:tcPr>
        <w:p w14:paraId="0681DDB8" w14:textId="77777777" w:rsidR="00504AFD" w:rsidRDefault="00504AFD">
          <w:pPr>
            <w:pStyle w:val="Kopfzeil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E27ABA0" wp14:editId="52F0146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744708992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14:paraId="3F2391B8" w14:textId="314660CB" w:rsidR="00504AFD" w:rsidRPr="00994D9F" w:rsidRDefault="00065567" w:rsidP="000E6D9A">
              <w:pPr>
                <w:pStyle w:val="Kopfzeil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UMA 240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14:paraId="7A8ADAC1" w14:textId="77777777" w:rsidR="00504AFD" w:rsidRDefault="00504AFD" w:rsidP="000E6D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14:paraId="3BE972CB" w14:textId="77777777" w:rsidTr="009066EB">
      <w:trPr>
        <w:trHeight w:val="300"/>
      </w:trPr>
      <w:tc>
        <w:tcPr>
          <w:tcW w:w="603" w:type="pct"/>
        </w:tcPr>
        <w:p w14:paraId="79086A18" w14:textId="77777777" w:rsidR="004C2A08" w:rsidRDefault="004C2A08" w:rsidP="004C2A08">
          <w:pPr>
            <w:pStyle w:val="Kopfzeil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F4AC5CC" wp14:editId="529306EA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14:paraId="52DB2363" w14:textId="3AA6ED48" w:rsidR="004C2A08" w:rsidRPr="00994D9F" w:rsidRDefault="00065567" w:rsidP="004C2A08">
              <w:pPr>
                <w:pStyle w:val="Kopfzeil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UMA 240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14:paraId="05E5A9D2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9D37D3"/>
    <w:multiLevelType w:val="hybridMultilevel"/>
    <w:tmpl w:val="84CCFB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B56"/>
    <w:multiLevelType w:val="hybridMultilevel"/>
    <w:tmpl w:val="434E5C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6800"/>
    <w:multiLevelType w:val="hybridMultilevel"/>
    <w:tmpl w:val="350C67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3158"/>
    <w:multiLevelType w:val="hybridMultilevel"/>
    <w:tmpl w:val="013EEC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0B22"/>
    <w:multiLevelType w:val="hybridMultilevel"/>
    <w:tmpl w:val="7D5C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50B5"/>
    <w:multiLevelType w:val="hybridMultilevel"/>
    <w:tmpl w:val="FDD688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0FE6DB1"/>
    <w:multiLevelType w:val="hybridMultilevel"/>
    <w:tmpl w:val="DF50A7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3CC8"/>
    <w:multiLevelType w:val="hybridMultilevel"/>
    <w:tmpl w:val="0380C6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363"/>
    <w:multiLevelType w:val="hybridMultilevel"/>
    <w:tmpl w:val="02C47E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18824">
    <w:abstractNumId w:val="7"/>
  </w:num>
  <w:num w:numId="2" w16cid:durableId="870653931">
    <w:abstractNumId w:val="5"/>
  </w:num>
  <w:num w:numId="3" w16cid:durableId="964967920">
    <w:abstractNumId w:val="10"/>
  </w:num>
  <w:num w:numId="4" w16cid:durableId="1263102627">
    <w:abstractNumId w:val="4"/>
  </w:num>
  <w:num w:numId="5" w16cid:durableId="129129321">
    <w:abstractNumId w:val="1"/>
  </w:num>
  <w:num w:numId="6" w16cid:durableId="336538941">
    <w:abstractNumId w:val="3"/>
  </w:num>
  <w:num w:numId="7" w16cid:durableId="344132159">
    <w:abstractNumId w:val="8"/>
  </w:num>
  <w:num w:numId="8" w16cid:durableId="1740983436">
    <w:abstractNumId w:val="9"/>
  </w:num>
  <w:num w:numId="9" w16cid:durableId="749742396">
    <w:abstractNumId w:val="2"/>
  </w:num>
  <w:num w:numId="10" w16cid:durableId="41721277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5567"/>
    <w:rsid w:val="0007297D"/>
    <w:rsid w:val="00072E34"/>
    <w:rsid w:val="00074CF1"/>
    <w:rsid w:val="000864D5"/>
    <w:rsid w:val="00092D0E"/>
    <w:rsid w:val="00097262"/>
    <w:rsid w:val="000A4840"/>
    <w:rsid w:val="000A75D3"/>
    <w:rsid w:val="000A7906"/>
    <w:rsid w:val="000B1A3A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2224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2F2F"/>
    <w:rsid w:val="001F6EE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64D12"/>
    <w:rsid w:val="00272240"/>
    <w:rsid w:val="00272DC2"/>
    <w:rsid w:val="00276982"/>
    <w:rsid w:val="002A45DF"/>
    <w:rsid w:val="002A53B0"/>
    <w:rsid w:val="002B23F2"/>
    <w:rsid w:val="002B7311"/>
    <w:rsid w:val="002C09F1"/>
    <w:rsid w:val="002C0C89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0778C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3937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1EC"/>
    <w:rsid w:val="006E55C0"/>
    <w:rsid w:val="006F2374"/>
    <w:rsid w:val="006F3358"/>
    <w:rsid w:val="006F3CBE"/>
    <w:rsid w:val="007207C3"/>
    <w:rsid w:val="00720FE3"/>
    <w:rsid w:val="00736445"/>
    <w:rsid w:val="00741AEC"/>
    <w:rsid w:val="00742914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A2571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1C03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1FE6"/>
    <w:rsid w:val="00903F9A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3DC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834DF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4B42"/>
    <w:rsid w:val="00B360F7"/>
    <w:rsid w:val="00B46882"/>
    <w:rsid w:val="00B4719B"/>
    <w:rsid w:val="00B506CB"/>
    <w:rsid w:val="00B65D29"/>
    <w:rsid w:val="00B7331B"/>
    <w:rsid w:val="00B756D8"/>
    <w:rsid w:val="00B7606A"/>
    <w:rsid w:val="00B80094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4841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012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17D"/>
    <w:rsid w:val="00F118DE"/>
    <w:rsid w:val="00F14032"/>
    <w:rsid w:val="00F1560E"/>
    <w:rsid w:val="00F210D4"/>
    <w:rsid w:val="00F31EAA"/>
    <w:rsid w:val="00F356D2"/>
    <w:rsid w:val="00F374DB"/>
    <w:rsid w:val="00F4432B"/>
    <w:rsid w:val="00F45FBE"/>
    <w:rsid w:val="00F75967"/>
    <w:rsid w:val="00F80282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D0C2D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deutschland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deutschl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UMA 240             A&amp;I Spezifikation</vt:lpstr>
      <vt:lpstr>DIVA-8SG2             A&amp;I Spezifikation</vt:lpstr>
      <vt:lpstr>BOUTIQUE           A&amp;E Specification</vt:lpstr>
    </vt:vector>
  </TitlesOfParts>
  <Company>Toshiba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240             A&amp;I Spezifikation</dc:title>
  <dc:creator>行銷助專_許筠亞</dc:creator>
  <cp:lastModifiedBy>Christine Stephan ATEÏS</cp:lastModifiedBy>
  <cp:revision>2</cp:revision>
  <cp:lastPrinted>2024-11-04T09:03:00Z</cp:lastPrinted>
  <dcterms:created xsi:type="dcterms:W3CDTF">2024-11-04T09:06:00Z</dcterms:created>
  <dcterms:modified xsi:type="dcterms:W3CDTF">2024-11-04T09:06:00Z</dcterms:modified>
</cp:coreProperties>
</file>